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17" w:rsidRDefault="009A0B17" w:rsidP="009A0B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0B17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Кальмияровский сельсовет муниципального района Татышлинский район </w:t>
      </w:r>
    </w:p>
    <w:p w:rsidR="004012A2" w:rsidRPr="009A0B17" w:rsidRDefault="009A0B17" w:rsidP="009A0B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A0B17" w:rsidRPr="009A0B17" w:rsidRDefault="009A0B17" w:rsidP="009A0B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17" w:rsidRPr="009A0B17" w:rsidRDefault="009A0B17" w:rsidP="009A0B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17" w:rsidRPr="009A0B17" w:rsidRDefault="009A0B17" w:rsidP="009A0B1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A0B17" w:rsidRPr="009A0B17" w:rsidRDefault="009A0B17" w:rsidP="009A0B1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 xml:space="preserve">«04» октября 2018 года                                                                  № </w:t>
      </w:r>
      <w:r w:rsidR="00971B3D">
        <w:rPr>
          <w:rFonts w:ascii="Times New Roman" w:hAnsi="Times New Roman" w:cs="Times New Roman"/>
          <w:b/>
          <w:sz w:val="28"/>
          <w:szCs w:val="28"/>
        </w:rPr>
        <w:t>254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9A0B17" w:rsidRDefault="009A0B17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решения Совета сельского поселения Кальмияровский </w:t>
      </w:r>
      <w:proofErr w:type="gramStart"/>
      <w:r w:rsidRPr="009A0B17">
        <w:rPr>
          <w:rFonts w:ascii="Times New Roman" w:hAnsi="Times New Roman" w:cs="Times New Roman"/>
          <w:b/>
          <w:sz w:val="28"/>
          <w:szCs w:val="28"/>
        </w:rPr>
        <w:t>сельсовет  муниципального</w:t>
      </w:r>
      <w:proofErr w:type="gramEnd"/>
      <w:r w:rsidRPr="009A0B17">
        <w:rPr>
          <w:rFonts w:ascii="Times New Roman" w:hAnsi="Times New Roman" w:cs="Times New Roman"/>
          <w:b/>
          <w:sz w:val="28"/>
          <w:szCs w:val="28"/>
        </w:rPr>
        <w:t xml:space="preserve"> района  Татышлинский район Республики Башкортостан  «</w:t>
      </w:r>
      <w:r w:rsidR="004012A2" w:rsidRPr="009A0B1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9A0B1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8F2065" w:rsidRPr="009A0B17">
        <w:rPr>
          <w:rFonts w:ascii="Times New Roman" w:hAnsi="Times New Roman" w:cs="Times New Roman"/>
          <w:b/>
          <w:sz w:val="28"/>
          <w:szCs w:val="28"/>
        </w:rPr>
        <w:t>Кальмияровский сельсовет</w:t>
      </w:r>
    </w:p>
    <w:p w:rsidR="004012A2" w:rsidRPr="009A0B1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8F2065" w:rsidRPr="009A0B17">
        <w:rPr>
          <w:rFonts w:ascii="Times New Roman" w:hAnsi="Times New Roman" w:cs="Times New Roman"/>
          <w:b/>
          <w:sz w:val="28"/>
          <w:szCs w:val="28"/>
        </w:rPr>
        <w:t xml:space="preserve">Татышлинский </w:t>
      </w:r>
      <w:r w:rsidRPr="009A0B1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End"/>
    </w:p>
    <w:p w:rsidR="004012A2" w:rsidRPr="009A0B1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A0B17" w:rsidRPr="009A0B17">
        <w:rPr>
          <w:rFonts w:ascii="Times New Roman" w:hAnsi="Times New Roman" w:cs="Times New Roman"/>
          <w:b/>
          <w:sz w:val="28"/>
          <w:szCs w:val="28"/>
        </w:rPr>
        <w:t>»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gramStart"/>
      <w:r w:rsidR="008F2065">
        <w:rPr>
          <w:rFonts w:ascii="Times New Roman" w:hAnsi="Times New Roman" w:cs="Times New Roman"/>
          <w:sz w:val="28"/>
          <w:szCs w:val="28"/>
        </w:rPr>
        <w:t>Кальмияровский  сельсовет</w:t>
      </w:r>
      <w:proofErr w:type="gramEnd"/>
      <w:r w:rsidR="008F2065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F2065"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8F2065">
        <w:rPr>
          <w:rFonts w:ascii="Times New Roman" w:hAnsi="Times New Roman" w:cs="Times New Roman"/>
          <w:sz w:val="28"/>
          <w:szCs w:val="28"/>
        </w:rPr>
        <w:t xml:space="preserve">Кальмияровский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F2065"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 xml:space="preserve">изложить в </w:t>
      </w:r>
      <w:proofErr w:type="gramStart"/>
      <w:r w:rsidR="00E16978">
        <w:rPr>
          <w:rFonts w:ascii="Times New Roman" w:hAnsi="Times New Roman" w:cs="Times New Roman"/>
          <w:sz w:val="28"/>
          <w:szCs w:val="28"/>
        </w:rPr>
        <w:t>следующей  редакции</w:t>
      </w:r>
      <w:proofErr w:type="gramEnd"/>
      <w:r w:rsidR="00E16978">
        <w:rPr>
          <w:rFonts w:ascii="Times New Roman" w:hAnsi="Times New Roman" w:cs="Times New Roman"/>
          <w:sz w:val="28"/>
          <w:szCs w:val="28"/>
        </w:rPr>
        <w:t>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 и 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8F206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proofErr w:type="gramStart"/>
      <w:r w:rsidR="008F2065">
        <w:rPr>
          <w:rFonts w:ascii="Times New Roman" w:hAnsi="Times New Roman" w:cs="Times New Roman"/>
          <w:sz w:val="28"/>
          <w:szCs w:val="28"/>
        </w:rPr>
        <w:t xml:space="preserve">стенде  </w:t>
      </w:r>
      <w:r w:rsidR="009A0B17">
        <w:rPr>
          <w:rFonts w:ascii="Times New Roman" w:hAnsi="Times New Roman" w:cs="Times New Roman"/>
          <w:sz w:val="28"/>
          <w:szCs w:val="28"/>
        </w:rPr>
        <w:t>А</w:t>
      </w:r>
      <w:r w:rsidR="008F206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8F2065">
        <w:rPr>
          <w:rFonts w:ascii="Times New Roman" w:hAnsi="Times New Roman" w:cs="Times New Roman"/>
          <w:sz w:val="28"/>
          <w:szCs w:val="28"/>
        </w:rPr>
        <w:t xml:space="preserve"> сельского поселения Кальмияровский сельсовет</w:t>
      </w:r>
      <w:r w:rsidR="009A0B17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9A0B17" w:rsidRDefault="009A0B1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3D" w:rsidRDefault="00971B3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3D" w:rsidRDefault="00971B3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B17" w:rsidRDefault="009A0B17" w:rsidP="009A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0B17" w:rsidRDefault="009A0B17" w:rsidP="009A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Кальмияровский сельсовет </w:t>
      </w:r>
    </w:p>
    <w:p w:rsidR="009A0B17" w:rsidRDefault="009A0B17" w:rsidP="009A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0B17" w:rsidRDefault="009A0B17" w:rsidP="009A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:rsidR="009A0B17" w:rsidRPr="00646585" w:rsidRDefault="009A0B17" w:rsidP="009A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Ф.К.Иванов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9A0B17"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83" w:rsidRDefault="005B5783" w:rsidP="00B8536C">
      <w:pPr>
        <w:spacing w:after="0" w:line="240" w:lineRule="auto"/>
      </w:pPr>
      <w:r>
        <w:separator/>
      </w:r>
    </w:p>
  </w:endnote>
  <w:endnote w:type="continuationSeparator" w:id="0">
    <w:p w:rsidR="005B5783" w:rsidRDefault="005B5783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83" w:rsidRDefault="005B5783" w:rsidP="00B8536C">
      <w:pPr>
        <w:spacing w:after="0" w:line="240" w:lineRule="auto"/>
      </w:pPr>
      <w:r>
        <w:separator/>
      </w:r>
    </w:p>
  </w:footnote>
  <w:footnote w:type="continuationSeparator" w:id="0">
    <w:p w:rsidR="005B5783" w:rsidRDefault="005B5783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6F7E5C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37F01"/>
    <w:rsid w:val="0024035D"/>
    <w:rsid w:val="00241E55"/>
    <w:rsid w:val="00261684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B5783"/>
    <w:rsid w:val="005E4F92"/>
    <w:rsid w:val="005F010D"/>
    <w:rsid w:val="00611AE7"/>
    <w:rsid w:val="00646585"/>
    <w:rsid w:val="00665A49"/>
    <w:rsid w:val="0069710E"/>
    <w:rsid w:val="006B2D20"/>
    <w:rsid w:val="006B4BDB"/>
    <w:rsid w:val="006F7E5C"/>
    <w:rsid w:val="007013EF"/>
    <w:rsid w:val="00711EEB"/>
    <w:rsid w:val="0074420D"/>
    <w:rsid w:val="007F0EF3"/>
    <w:rsid w:val="0083110E"/>
    <w:rsid w:val="008960FF"/>
    <w:rsid w:val="008D5EA4"/>
    <w:rsid w:val="008F051F"/>
    <w:rsid w:val="008F2065"/>
    <w:rsid w:val="00920CE3"/>
    <w:rsid w:val="00971B3D"/>
    <w:rsid w:val="00973AB3"/>
    <w:rsid w:val="009A0B17"/>
    <w:rsid w:val="00A5242A"/>
    <w:rsid w:val="00A829AB"/>
    <w:rsid w:val="00A84230"/>
    <w:rsid w:val="00AC1E06"/>
    <w:rsid w:val="00AF442E"/>
    <w:rsid w:val="00B01D37"/>
    <w:rsid w:val="00B23B74"/>
    <w:rsid w:val="00B411AD"/>
    <w:rsid w:val="00B462C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337FF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D80FA-3069-439A-BE14-AC2BBA23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8D99-0539-4FC5-A4C9-904D25D2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kalmiyar.selsovet@outlook.com</cp:lastModifiedBy>
  <cp:revision>2</cp:revision>
  <cp:lastPrinted>2018-08-16T07:00:00Z</cp:lastPrinted>
  <dcterms:created xsi:type="dcterms:W3CDTF">2018-10-10T11:11:00Z</dcterms:created>
  <dcterms:modified xsi:type="dcterms:W3CDTF">2018-10-10T11:11:00Z</dcterms:modified>
</cp:coreProperties>
</file>